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49F1" w14:textId="79914585" w:rsidR="00EB00F0" w:rsidRPr="004114FE" w:rsidRDefault="00EB00F0" w:rsidP="00EB00F0">
      <w:pPr>
        <w:rPr>
          <w:b/>
          <w:bCs/>
        </w:rPr>
      </w:pPr>
      <w:r w:rsidRPr="004114FE">
        <w:rPr>
          <w:rFonts w:hint="eastAsia"/>
          <w:b/>
          <w:bCs/>
        </w:rPr>
        <w:t>认证机构与客户的法律合同</w:t>
      </w:r>
    </w:p>
    <w:p w14:paraId="6A7C9A82" w14:textId="073C2D73" w:rsidR="00EB00F0" w:rsidRDefault="00EB00F0" w:rsidP="00EB00F0">
      <w:r>
        <w:rPr>
          <w:rFonts w:hint="eastAsia"/>
        </w:rPr>
        <w:t>认证机构应与客户签订法律合</w:t>
      </w:r>
      <w:r w:rsidR="00A37E02">
        <w:rPr>
          <w:rFonts w:hint="eastAsia"/>
        </w:rPr>
        <w:t>同（</w:t>
      </w:r>
      <w:r>
        <w:rPr>
          <w:rFonts w:hint="eastAsia"/>
        </w:rPr>
        <w:t>即法律上可</w:t>
      </w:r>
      <w:r w:rsidR="00A37E02">
        <w:rPr>
          <w:rFonts w:hint="eastAsia"/>
        </w:rPr>
        <w:t>执行</w:t>
      </w:r>
      <w:r>
        <w:rPr>
          <w:rFonts w:hint="eastAsia"/>
        </w:rPr>
        <w:t>的协议），以提供认证活动。如果客户有多个场所，认证机构应确保认证机构与客户之间的法律合同涵盖每个客户场所。</w:t>
      </w:r>
    </w:p>
    <w:p w14:paraId="49406616" w14:textId="46E42CA0" w:rsidR="00EB00F0" w:rsidRDefault="00EB00F0" w:rsidP="00EB00F0">
      <w:r>
        <w:rPr>
          <w:rFonts w:hint="eastAsia"/>
        </w:rPr>
        <w:t>一个客户场所没有被</w:t>
      </w:r>
      <w:r w:rsidR="00C0069C">
        <w:rPr>
          <w:rFonts w:hint="eastAsia"/>
        </w:rPr>
        <w:t>包</w:t>
      </w:r>
      <w:r>
        <w:rPr>
          <w:rFonts w:hint="eastAsia"/>
        </w:rPr>
        <w:t>括在认证机构和客户的法律合同中之前，不</w:t>
      </w:r>
      <w:r w:rsidR="00376B96">
        <w:rPr>
          <w:rFonts w:hint="eastAsia"/>
        </w:rPr>
        <w:t>应</w:t>
      </w:r>
      <w:r>
        <w:rPr>
          <w:rFonts w:hint="eastAsia"/>
        </w:rPr>
        <w:t>被包括在集团审核方案中。</w:t>
      </w:r>
    </w:p>
    <w:p w14:paraId="459FEB55" w14:textId="55079D88" w:rsidR="00C96C3B" w:rsidRPr="00C96C3B" w:rsidRDefault="00C96C3B" w:rsidP="00C96C3B">
      <w:r w:rsidRPr="00C96C3B">
        <w:rPr>
          <w:b/>
          <w:bCs/>
        </w:rPr>
        <w:t xml:space="preserve">Certification body legal contract with the client </w:t>
      </w:r>
    </w:p>
    <w:p w14:paraId="2313F558" w14:textId="77777777" w:rsidR="00C96C3B" w:rsidRPr="00C96C3B" w:rsidRDefault="00C96C3B" w:rsidP="00C96C3B">
      <w:r w:rsidRPr="00C96C3B">
        <w:t xml:space="preserve">The certification body shall have a legal contract (i.e., a legally enforceable agreement) with the client for the provision of IATF 16949 certification activities. Where there are multiple client locations included in the scope of certification, the certification body shall ensure that each client location is covered by a legal contract between the certification body and client. </w:t>
      </w:r>
    </w:p>
    <w:p w14:paraId="4FB80629" w14:textId="77777777" w:rsidR="00C96C3B" w:rsidRPr="00C96C3B" w:rsidRDefault="00C96C3B" w:rsidP="00C96C3B">
      <w:r w:rsidRPr="00C96C3B">
        <w:t xml:space="preserve">A client’s location shall not be included in a corporate scheme until it has been included in the legal contract between the certification body and the client. </w:t>
      </w:r>
    </w:p>
    <w:p w14:paraId="37A164AC" w14:textId="77777777" w:rsidR="00C96C3B" w:rsidRPr="00C96C3B" w:rsidRDefault="00C96C3B" w:rsidP="00EB00F0"/>
    <w:p w14:paraId="4699334E" w14:textId="6344F85C" w:rsidR="00EB00F0" w:rsidRPr="004610FC" w:rsidRDefault="00EB00F0" w:rsidP="00EB00F0">
      <w:pPr>
        <w:rPr>
          <w:b/>
          <w:bCs/>
        </w:rPr>
      </w:pPr>
      <w:r w:rsidRPr="004610FC">
        <w:rPr>
          <w:rFonts w:hint="eastAsia"/>
          <w:b/>
          <w:bCs/>
        </w:rPr>
        <w:t>认证机构与客户之间的法律合</w:t>
      </w:r>
      <w:r w:rsidR="00A201E1" w:rsidRPr="004610FC">
        <w:rPr>
          <w:rFonts w:hint="eastAsia"/>
          <w:b/>
          <w:bCs/>
        </w:rPr>
        <w:t>同</w:t>
      </w:r>
      <w:r w:rsidRPr="004610FC">
        <w:rPr>
          <w:rFonts w:hint="eastAsia"/>
          <w:b/>
          <w:bCs/>
        </w:rPr>
        <w:t>应包括下列规定：</w:t>
      </w:r>
    </w:p>
    <w:p w14:paraId="366BBEBB" w14:textId="4501293E" w:rsidR="00C96C3B" w:rsidRPr="00F61747" w:rsidRDefault="00C96C3B" w:rsidP="00EB00F0">
      <w:pPr>
        <w:rPr>
          <w:b/>
          <w:bCs/>
        </w:rPr>
      </w:pPr>
      <w:r w:rsidRPr="00F61747">
        <w:rPr>
          <w:b/>
          <w:bCs/>
        </w:rPr>
        <w:t>The legal contract between the certification body and the client shall include the following provisions:</w:t>
      </w:r>
    </w:p>
    <w:p w14:paraId="7E5224F4" w14:textId="3C42AE28" w:rsidR="00EB00F0" w:rsidRDefault="00EB00F0" w:rsidP="00C96C3B">
      <w:pPr>
        <w:pStyle w:val="a9"/>
        <w:numPr>
          <w:ilvl w:val="0"/>
          <w:numId w:val="4"/>
        </w:numPr>
      </w:pPr>
      <w:r>
        <w:rPr>
          <w:rFonts w:hint="eastAsia"/>
        </w:rPr>
        <w:t>客户</w:t>
      </w:r>
      <w:r w:rsidR="00F3590A">
        <w:rPr>
          <w:rFonts w:hint="eastAsia"/>
        </w:rPr>
        <w:t>应</w:t>
      </w:r>
      <w:r>
        <w:rPr>
          <w:rFonts w:hint="eastAsia"/>
        </w:rPr>
        <w:t>在合同签订前提供与</w:t>
      </w:r>
      <w:proofErr w:type="gramStart"/>
      <w:r>
        <w:rPr>
          <w:rFonts w:hint="eastAsia"/>
        </w:rPr>
        <w:t>先前和</w:t>
      </w:r>
      <w:proofErr w:type="gramEnd"/>
      <w:r>
        <w:rPr>
          <w:rFonts w:hint="eastAsia"/>
        </w:rPr>
        <w:t>/或现有IATF 16949认证相关的认证机构信息。</w:t>
      </w:r>
    </w:p>
    <w:p w14:paraId="57A699A3" w14:textId="30FC59CA" w:rsidR="00C96C3B" w:rsidRPr="00C96C3B" w:rsidRDefault="00C96C3B" w:rsidP="000C6DB5">
      <w:pPr>
        <w:ind w:firstLine="360"/>
      </w:pPr>
      <w:r w:rsidRPr="00C96C3B">
        <w:t xml:space="preserve">The client shall provide the certification body information related to previous and/or existing certification to IATF 16949 before contract signature. </w:t>
      </w:r>
    </w:p>
    <w:p w14:paraId="30609AE1" w14:textId="14EDB38C" w:rsidR="00EB00F0" w:rsidRDefault="00EB00F0" w:rsidP="00C96C3B">
      <w:pPr>
        <w:pStyle w:val="a9"/>
        <w:numPr>
          <w:ilvl w:val="0"/>
          <w:numId w:val="4"/>
        </w:numPr>
      </w:pPr>
      <w:r>
        <w:rPr>
          <w:rFonts w:hint="eastAsia"/>
        </w:rPr>
        <w:t>客户应将重大变更通知认证机构。</w:t>
      </w:r>
    </w:p>
    <w:p w14:paraId="0DB93332" w14:textId="2F7E6627" w:rsidR="00C96C3B" w:rsidRDefault="00C96C3B" w:rsidP="000C6DB5">
      <w:pPr>
        <w:ind w:firstLine="360"/>
      </w:pPr>
      <w:r w:rsidRPr="00C96C3B">
        <w:t>The client shall notify the certification body of significant changes.</w:t>
      </w:r>
    </w:p>
    <w:p w14:paraId="0522757F" w14:textId="7B2638BD" w:rsidR="00EB00F0" w:rsidRDefault="00EB00F0" w:rsidP="00C96C3B">
      <w:pPr>
        <w:pStyle w:val="a9"/>
        <w:numPr>
          <w:ilvl w:val="0"/>
          <w:numId w:val="4"/>
        </w:numPr>
      </w:pPr>
      <w:r>
        <w:rPr>
          <w:rFonts w:hint="eastAsia"/>
        </w:rPr>
        <w:t>客户不应拒绝IATF 对认证机构的见证审核。</w:t>
      </w:r>
    </w:p>
    <w:p w14:paraId="1908A171" w14:textId="3EB0D87E" w:rsidR="00C96C3B" w:rsidRPr="00C96C3B" w:rsidRDefault="00C96C3B" w:rsidP="000C6DB5">
      <w:pPr>
        <w:ind w:left="360"/>
      </w:pPr>
      <w:r w:rsidRPr="00C96C3B">
        <w:t xml:space="preserve">The client shall not refuse an IATF witness audit of the certification body. </w:t>
      </w:r>
    </w:p>
    <w:p w14:paraId="16022EC1" w14:textId="14B16639" w:rsidR="00EB00F0" w:rsidRDefault="00EB00F0" w:rsidP="00EB00F0">
      <w:r>
        <w:rPr>
          <w:rFonts w:hint="eastAsia"/>
        </w:rPr>
        <w:t>d</w:t>
      </w:r>
      <w:r w:rsidR="00C96C3B">
        <w:rPr>
          <w:rFonts w:hint="eastAsia"/>
        </w:rPr>
        <w:t>)</w:t>
      </w:r>
      <w:r>
        <w:rPr>
          <w:rFonts w:hint="eastAsia"/>
        </w:rPr>
        <w:t xml:space="preserve"> 客户不应拒绝认证机构内部见证审</w:t>
      </w:r>
      <w:r w:rsidR="001E161D">
        <w:rPr>
          <w:rFonts w:hint="eastAsia"/>
        </w:rPr>
        <w:t>核</w:t>
      </w:r>
      <w:r>
        <w:rPr>
          <w:rFonts w:hint="eastAsia"/>
        </w:rPr>
        <w:t>.</w:t>
      </w:r>
    </w:p>
    <w:p w14:paraId="1AE2D0D8" w14:textId="1EC46BC5" w:rsidR="00904E01" w:rsidRDefault="00C96C3B" w:rsidP="00904E01">
      <w:pPr>
        <w:ind w:firstLine="360"/>
      </w:pPr>
      <w:r w:rsidRPr="00C96C3B">
        <w:t>The client shall not refuse a certification body internal witness audit.</w:t>
      </w:r>
    </w:p>
    <w:p w14:paraId="6CC85CA1" w14:textId="1DA2C290" w:rsidR="00EB00F0" w:rsidRDefault="00904E01" w:rsidP="00904E01">
      <w:r>
        <w:rPr>
          <w:rFonts w:hint="eastAsia"/>
        </w:rPr>
        <w:t xml:space="preserve">e) </w:t>
      </w:r>
      <w:r w:rsidR="00EB00F0">
        <w:rPr>
          <w:rFonts w:hint="eastAsia"/>
        </w:rPr>
        <w:t>客户不应拒绝IATF 观察员的出席。</w:t>
      </w:r>
    </w:p>
    <w:p w14:paraId="15D9AB94" w14:textId="7FB95AD6" w:rsidR="00C96C3B" w:rsidRPr="00C96C3B" w:rsidRDefault="00C96C3B" w:rsidP="00F03EE2">
      <w:pPr>
        <w:ind w:firstLine="360"/>
      </w:pPr>
      <w:r w:rsidRPr="00C96C3B">
        <w:t xml:space="preserve">The client shall not refuse the presence of IATF observers. </w:t>
      </w:r>
    </w:p>
    <w:p w14:paraId="5D96875F" w14:textId="216E28FA" w:rsidR="00EB00F0" w:rsidRDefault="00EB00F0" w:rsidP="00EB00F0">
      <w:r>
        <w:rPr>
          <w:rFonts w:hint="eastAsia"/>
        </w:rPr>
        <w:t>f</w:t>
      </w:r>
      <w:r w:rsidR="00C96C3B">
        <w:rPr>
          <w:rFonts w:hint="eastAsia"/>
        </w:rPr>
        <w:t>)</w:t>
      </w:r>
      <w:r w:rsidR="000C6DB5">
        <w:rPr>
          <w:rFonts w:hint="eastAsia"/>
        </w:rPr>
        <w:t xml:space="preserve"> </w:t>
      </w:r>
      <w:r>
        <w:rPr>
          <w:rFonts w:hint="eastAsia"/>
        </w:rPr>
        <w:t>客户不应</w:t>
      </w:r>
      <w:r w:rsidR="00A110FF">
        <w:rPr>
          <w:rFonts w:hint="eastAsia"/>
        </w:rPr>
        <w:t>拒绝</w:t>
      </w:r>
      <w:r>
        <w:rPr>
          <w:rFonts w:hint="eastAsia"/>
        </w:rPr>
        <w:t>认证机构</w:t>
      </w:r>
      <w:r w:rsidR="008D7A78">
        <w:rPr>
          <w:rFonts w:hint="eastAsia"/>
        </w:rPr>
        <w:t>向</w:t>
      </w:r>
      <w:r>
        <w:rPr>
          <w:rFonts w:hint="eastAsia"/>
        </w:rPr>
        <w:t>IATF 提供最终审核和不符</w:t>
      </w:r>
      <w:r w:rsidR="009433CD">
        <w:rPr>
          <w:rFonts w:hint="eastAsia"/>
        </w:rPr>
        <w:t>合</w:t>
      </w:r>
      <w:r>
        <w:rPr>
          <w:rFonts w:hint="eastAsia"/>
        </w:rPr>
        <w:t>报告的要求。</w:t>
      </w:r>
    </w:p>
    <w:p w14:paraId="74A290BB" w14:textId="1CE162A2" w:rsidR="00C96C3B" w:rsidRDefault="00C96C3B" w:rsidP="00186432">
      <w:pPr>
        <w:ind w:firstLineChars="100" w:firstLine="220"/>
      </w:pPr>
      <w:r w:rsidRPr="00C96C3B">
        <w:lastRenderedPageBreak/>
        <w:t>The client shall not refuse the request of the certification body to provide the final audit and nonconformity reports to the IATF</w:t>
      </w:r>
      <w:r w:rsidR="005B617E">
        <w:rPr>
          <w:rFonts w:hint="eastAsia"/>
        </w:rPr>
        <w:t>.</w:t>
      </w:r>
    </w:p>
    <w:p w14:paraId="4E6F529C" w14:textId="2E880183" w:rsidR="00EB00F0" w:rsidRDefault="00EB00F0" w:rsidP="00EB00F0">
      <w:r>
        <w:rPr>
          <w:rFonts w:hint="eastAsia"/>
        </w:rPr>
        <w:t>g）IATF标识仅允许在认证机构签发的证书或符合证明函上显示。</w:t>
      </w:r>
      <w:r w:rsidR="008D7A78">
        <w:rPr>
          <w:rFonts w:hint="eastAsia"/>
        </w:rPr>
        <w:t>禁止</w:t>
      </w:r>
      <w:r>
        <w:rPr>
          <w:rFonts w:hint="eastAsia"/>
        </w:rPr>
        <w:t>客户将IATF 标识用于任何其他用途。</w:t>
      </w:r>
    </w:p>
    <w:p w14:paraId="0FDE3CAB" w14:textId="4018B5EC" w:rsidR="00C96C3B" w:rsidRPr="00C96C3B" w:rsidRDefault="00737BE1" w:rsidP="00EB00F0">
      <w:pPr>
        <w:numPr>
          <w:ilvl w:val="0"/>
          <w:numId w:val="1"/>
        </w:numPr>
      </w:pPr>
      <w:r>
        <w:rPr>
          <w:rFonts w:hint="eastAsia"/>
        </w:rPr>
        <w:t xml:space="preserve">  </w:t>
      </w:r>
      <w:r w:rsidR="00C96C3B" w:rsidRPr="00C96C3B">
        <w:t xml:space="preserve">The only use of the IATF logo is as displayed on the certificate or the letter of conformance issued by the certification body. Any other use of the IATF logo by the client is prohibited. </w:t>
      </w:r>
    </w:p>
    <w:p w14:paraId="1FC104D0" w14:textId="513884A9" w:rsidR="00EB00F0" w:rsidRDefault="00B76B74" w:rsidP="00737BE1">
      <w:pPr>
        <w:ind w:firstLineChars="100" w:firstLine="220"/>
      </w:pPr>
      <w:r>
        <w:rPr>
          <w:rFonts w:hint="eastAsia"/>
        </w:rPr>
        <w:t>注</w:t>
      </w:r>
      <w:r w:rsidR="00EB00F0">
        <w:rPr>
          <w:rFonts w:hint="eastAsia"/>
        </w:rPr>
        <w:t>：客户可出于</w:t>
      </w:r>
      <w:r w:rsidR="000F6800">
        <w:rPr>
          <w:rFonts w:hint="eastAsia"/>
        </w:rPr>
        <w:t>营</w:t>
      </w:r>
      <w:r w:rsidR="00EB00F0">
        <w:rPr>
          <w:rFonts w:hint="eastAsia"/>
        </w:rPr>
        <w:t>销和广告</w:t>
      </w:r>
      <w:r w:rsidR="000F6800">
        <w:rPr>
          <w:rFonts w:hint="eastAsia"/>
        </w:rPr>
        <w:t>目的</w:t>
      </w:r>
      <w:r w:rsidR="00EB00F0">
        <w:rPr>
          <w:rFonts w:hint="eastAsia"/>
        </w:rPr>
        <w:t>复制带有 IATF 标识的IATF 16949证书。</w:t>
      </w:r>
    </w:p>
    <w:p w14:paraId="20C1FF69" w14:textId="7323C59E" w:rsidR="00C96C3B" w:rsidRPr="00C96C3B" w:rsidRDefault="00C96C3B" w:rsidP="00737BE1">
      <w:pPr>
        <w:ind w:firstLineChars="100" w:firstLine="220"/>
      </w:pPr>
      <w:r w:rsidRPr="00C96C3B">
        <w:t xml:space="preserve">Note: The client may duplicate the IATF 16949 certificate bearing the IATF logo for marketing and advertising purposes. </w:t>
      </w:r>
    </w:p>
    <w:p w14:paraId="6A8C764A" w14:textId="3CAA08C1" w:rsidR="00EB00F0" w:rsidRDefault="00EB00F0" w:rsidP="00EB00F0">
      <w:r>
        <w:rPr>
          <w:rFonts w:hint="eastAsia"/>
        </w:rPr>
        <w:t>h）审核中，客户质量管理体系的相关咨询师不应实际出现在客户现场，也不应以任何方式直接或间接参与审核。客户</w:t>
      </w:r>
      <w:r w:rsidR="003B4EC4">
        <w:rPr>
          <w:rFonts w:hint="eastAsia"/>
        </w:rPr>
        <w:t>未</w:t>
      </w:r>
      <w:r>
        <w:rPr>
          <w:rFonts w:hint="eastAsia"/>
        </w:rPr>
        <w:t>能满足本合同要求将导致认证机构终止审</w:t>
      </w:r>
      <w:r w:rsidR="00D01D37">
        <w:rPr>
          <w:rFonts w:hint="eastAsia"/>
        </w:rPr>
        <w:t>核</w:t>
      </w:r>
      <w:r>
        <w:rPr>
          <w:rFonts w:hint="eastAsia"/>
        </w:rPr>
        <w:t>。</w:t>
      </w:r>
    </w:p>
    <w:p w14:paraId="0AB572D0" w14:textId="6E0255A0" w:rsidR="00C96C3B" w:rsidRDefault="00C96C3B" w:rsidP="00022427">
      <w:pPr>
        <w:ind w:firstLine="420"/>
      </w:pPr>
      <w:r w:rsidRPr="00C96C3B">
        <w:t>Quality management system–related consultants to the client shall not be physically present at the client’s site during an audit and shall not participate in the audit in any way either directly or indirectly. The client’s failure to meet this contractual requirement shall result in audit termination by the certification body.</w:t>
      </w:r>
    </w:p>
    <w:p w14:paraId="29A2EAF9" w14:textId="3E6136BC" w:rsidR="00EB00F0" w:rsidRDefault="00FA1AB7" w:rsidP="00EB00F0">
      <w:proofErr w:type="spellStart"/>
      <w:r>
        <w:rPr>
          <w:rFonts w:hint="eastAsia"/>
        </w:rPr>
        <w:t>i</w:t>
      </w:r>
      <w:proofErr w:type="spellEnd"/>
      <w:r>
        <w:rPr>
          <w:rFonts w:hint="eastAsia"/>
        </w:rPr>
        <w:t>)</w:t>
      </w:r>
      <w:r w:rsidR="00EB00F0">
        <w:t xml:space="preserve"> </w:t>
      </w:r>
      <w:r w:rsidR="00EB00F0">
        <w:rPr>
          <w:rFonts w:ascii="Tahoma" w:hAnsi="Tahoma" w:cs="Tahoma"/>
        </w:rPr>
        <w:t>﻿</w:t>
      </w:r>
      <w:r w:rsidR="00EB00F0">
        <w:t>客户应按照认证机构的要求向认证机构提供审核前策划信息。</w:t>
      </w:r>
    </w:p>
    <w:p w14:paraId="122F373A" w14:textId="38667773" w:rsidR="00C96C3B" w:rsidRDefault="00C96C3B" w:rsidP="007C20D6">
      <w:pPr>
        <w:ind w:firstLineChars="129" w:firstLine="284"/>
      </w:pPr>
      <w:r w:rsidRPr="00C96C3B">
        <w:t>The client shall provide pre-audit planning information to the certification body as required by the certification body.</w:t>
      </w:r>
    </w:p>
    <w:p w14:paraId="6A1D101F" w14:textId="327D9959" w:rsidR="00EB00F0" w:rsidRDefault="00355C9A" w:rsidP="00EB00F0">
      <w:r>
        <w:rPr>
          <w:rFonts w:hint="eastAsia"/>
        </w:rPr>
        <w:t>j)</w:t>
      </w:r>
      <w:r w:rsidR="00EB00F0">
        <w:rPr>
          <w:rFonts w:hint="eastAsia"/>
        </w:rPr>
        <w:t xml:space="preserve"> 一旦与新认证机构签订法律合同，客户应将其转移意图通知认证机构。</w:t>
      </w:r>
    </w:p>
    <w:p w14:paraId="780061E8" w14:textId="2E9933EB" w:rsidR="00EB00F0" w:rsidRDefault="00EB00F0" w:rsidP="00EB00F0">
      <w:r>
        <w:rPr>
          <w:rFonts w:hint="eastAsia"/>
        </w:rPr>
        <w:t>注1：该通知可允许合同延期，直至新认证机构完成所有</w:t>
      </w:r>
      <w:r w:rsidR="00355C9A">
        <w:rPr>
          <w:rFonts w:hint="eastAsia"/>
        </w:rPr>
        <w:t>转移</w:t>
      </w:r>
      <w:r>
        <w:rPr>
          <w:rFonts w:hint="eastAsia"/>
        </w:rPr>
        <w:t>活动，从而允许 IATF 16949 证书在再认证审核到期日后最多一百二十（120）</w:t>
      </w:r>
      <w:proofErr w:type="gramStart"/>
      <w:r>
        <w:rPr>
          <w:rFonts w:hint="eastAsia"/>
        </w:rPr>
        <w:t>个</w:t>
      </w:r>
      <w:proofErr w:type="gramEnd"/>
      <w:r>
        <w:rPr>
          <w:rFonts w:hint="eastAsia"/>
        </w:rPr>
        <w:t>日历日或证书到期日（以先到者为准）前保持有效。如果在监</w:t>
      </w:r>
      <w:r w:rsidR="00F91F9B">
        <w:rPr>
          <w:rFonts w:hint="eastAsia"/>
        </w:rPr>
        <w:t>督</w:t>
      </w:r>
      <w:r>
        <w:rPr>
          <w:rFonts w:hint="eastAsia"/>
        </w:rPr>
        <w:t>审核时发生转移，则IATF 16949证书</w:t>
      </w:r>
      <w:r w:rsidR="0092130B">
        <w:rPr>
          <w:rFonts w:hint="eastAsia"/>
        </w:rPr>
        <w:t>的</w:t>
      </w:r>
      <w:r>
        <w:rPr>
          <w:rFonts w:hint="eastAsia"/>
        </w:rPr>
        <w:t>有效</w:t>
      </w:r>
      <w:r w:rsidR="0092130B">
        <w:rPr>
          <w:rFonts w:hint="eastAsia"/>
        </w:rPr>
        <w:t>期</w:t>
      </w:r>
      <w:r>
        <w:rPr>
          <w:rFonts w:hint="eastAsia"/>
        </w:rPr>
        <w:t>最长为监督审核到期日后的二百一十（210）</w:t>
      </w:r>
      <w:proofErr w:type="gramStart"/>
      <w:r>
        <w:rPr>
          <w:rFonts w:hint="eastAsia"/>
        </w:rPr>
        <w:t>个</w:t>
      </w:r>
      <w:proofErr w:type="gramEnd"/>
      <w:r>
        <w:rPr>
          <w:rFonts w:hint="eastAsia"/>
        </w:rPr>
        <w:t>日历日。</w:t>
      </w:r>
    </w:p>
    <w:p w14:paraId="41B8E9A8" w14:textId="563C0B88" w:rsidR="00EB00F0" w:rsidRDefault="00EB00F0" w:rsidP="00EB00F0">
      <w:r>
        <w:rPr>
          <w:rFonts w:hint="eastAsia"/>
        </w:rPr>
        <w:t>注2：认证机构可能有其他正当理由在转移活动完成前取消合同或</w:t>
      </w:r>
      <w:r w:rsidR="00F77628">
        <w:rPr>
          <w:rFonts w:hint="eastAsia"/>
        </w:rPr>
        <w:t>撤</w:t>
      </w:r>
      <w:r>
        <w:rPr>
          <w:rFonts w:hint="eastAsia"/>
        </w:rPr>
        <w:t xml:space="preserve">销客户认证。 </w:t>
      </w:r>
    </w:p>
    <w:p w14:paraId="2742A9A8" w14:textId="77777777" w:rsidR="00C96C3B" w:rsidRPr="00C96C3B" w:rsidRDefault="00C96C3B" w:rsidP="00C96C3B">
      <w:r w:rsidRPr="00C96C3B">
        <w:t xml:space="preserve">Note 1: This notification may allow the contract to be extended until all transfer activities are complete with the new certification body, which allows the IATF 16949 certificate to remain valid for a maximum of one-hundred-and-twenty (120) calendar days after the recertification audit due date (see section 10.0) or until the certificate expiration date, whichever comes first. In cases where a transfer occurs at a surveillance audit, the IATF 16949 certificate would be allowed to remain valid for a maximum of two-hundred-and-ten (210) calendar days after the surveillance audit due date. </w:t>
      </w:r>
    </w:p>
    <w:p w14:paraId="6A9D152F" w14:textId="01DFC7C7" w:rsidR="00C96C3B" w:rsidRPr="00C96C3B" w:rsidRDefault="00C96C3B" w:rsidP="00EB00F0">
      <w:r w:rsidRPr="00C96C3B">
        <w:lastRenderedPageBreak/>
        <w:t xml:space="preserve">Note 2: The certification body may have other valid reasons for cancelling the contract or withdrawing the client’s certification before the transfer activities are completed. </w:t>
      </w:r>
    </w:p>
    <w:p w14:paraId="123E99E0" w14:textId="2207DD4A" w:rsidR="00EB00F0" w:rsidRDefault="00FD7412" w:rsidP="00EB00F0">
      <w:r>
        <w:rPr>
          <w:rFonts w:hint="eastAsia"/>
        </w:rPr>
        <w:t>k</w:t>
      </w:r>
      <w:r w:rsidR="00EB00F0">
        <w:rPr>
          <w:rFonts w:hint="eastAsia"/>
        </w:rPr>
        <w:t>）客户应与认证机构合作，解决与向另一</w:t>
      </w:r>
      <w:r w:rsidR="007F43BB">
        <w:rPr>
          <w:rFonts w:hint="eastAsia"/>
        </w:rPr>
        <w:t>家</w:t>
      </w:r>
      <w:r w:rsidR="00EB00F0">
        <w:rPr>
          <w:rFonts w:hint="eastAsia"/>
        </w:rPr>
        <w:t>IATF认可的认证机构转移或从另一</w:t>
      </w:r>
      <w:r w:rsidR="007F43BB">
        <w:rPr>
          <w:rFonts w:hint="eastAsia"/>
        </w:rPr>
        <w:t>家</w:t>
      </w:r>
      <w:r w:rsidR="00EB00F0">
        <w:rPr>
          <w:rFonts w:hint="eastAsia"/>
        </w:rPr>
        <w:t>IATF认可的认证机构转移相关的未解决的问题。</w:t>
      </w:r>
    </w:p>
    <w:p w14:paraId="0DA0D082" w14:textId="77777777" w:rsidR="00683233" w:rsidRPr="00C96C3B" w:rsidRDefault="00683233" w:rsidP="00683233">
      <w:pPr>
        <w:numPr>
          <w:ilvl w:val="0"/>
          <w:numId w:val="3"/>
        </w:numPr>
      </w:pPr>
      <w:r w:rsidRPr="00C96C3B">
        <w:t xml:space="preserve">The client shall work with the certification body to resolve open issues related to its transfer to or from another IATF-recognized certification body. </w:t>
      </w:r>
    </w:p>
    <w:p w14:paraId="0CF831CC" w14:textId="3A561816" w:rsidR="00EB00F0" w:rsidRDefault="00683233" w:rsidP="00683233">
      <w:pPr>
        <w:numPr>
          <w:ilvl w:val="0"/>
          <w:numId w:val="3"/>
        </w:numPr>
      </w:pPr>
      <w:r w:rsidRPr="00C96C3B">
        <w:t xml:space="preserve">l </w:t>
      </w:r>
      <w:r w:rsidR="00152A72">
        <w:rPr>
          <w:rFonts w:hint="eastAsia"/>
        </w:rPr>
        <w:t xml:space="preserve">) </w:t>
      </w:r>
      <w:r w:rsidR="00EB00F0">
        <w:rPr>
          <w:rFonts w:hint="eastAsia"/>
        </w:rPr>
        <w:t>当其认证被注销，</w:t>
      </w:r>
      <w:r w:rsidR="00152A72">
        <w:rPr>
          <w:rFonts w:hint="eastAsia"/>
        </w:rPr>
        <w:t>撤</w:t>
      </w:r>
      <w:r w:rsidR="00EB00F0">
        <w:rPr>
          <w:rFonts w:hint="eastAsia"/>
        </w:rPr>
        <w:t>销或过期时，客户应从所有内部和外部</w:t>
      </w:r>
      <w:r w:rsidR="00164EDF">
        <w:rPr>
          <w:rFonts w:hint="eastAsia"/>
        </w:rPr>
        <w:t>营销渠</w:t>
      </w:r>
      <w:r w:rsidR="00EB00F0">
        <w:rPr>
          <w:rFonts w:hint="eastAsia"/>
        </w:rPr>
        <w:t>道</w:t>
      </w:r>
      <w:r w:rsidR="00164EDF">
        <w:rPr>
          <w:rFonts w:hint="eastAsia"/>
        </w:rPr>
        <w:t>删</w:t>
      </w:r>
      <w:r w:rsidR="00EB00F0">
        <w:rPr>
          <w:rFonts w:hint="eastAsia"/>
        </w:rPr>
        <w:t>除所有提及IATF16949认证的内容，包括但不限于</w:t>
      </w:r>
      <w:r w:rsidR="008F0E4D">
        <w:rPr>
          <w:rFonts w:hint="eastAsia"/>
        </w:rPr>
        <w:t>网</w:t>
      </w:r>
      <w:r w:rsidR="00EB00F0">
        <w:rPr>
          <w:rFonts w:hint="eastAsia"/>
        </w:rPr>
        <w:t>站、印刷和电子媒体。</w:t>
      </w:r>
    </w:p>
    <w:p w14:paraId="54364ADA" w14:textId="77777777" w:rsidR="00683233" w:rsidRPr="00C96C3B" w:rsidRDefault="00683233" w:rsidP="00683233">
      <w:pPr>
        <w:numPr>
          <w:ilvl w:val="0"/>
          <w:numId w:val="3"/>
        </w:numPr>
      </w:pPr>
      <w:r w:rsidRPr="00C96C3B">
        <w:t xml:space="preserve">The client shall remove all references to IATF 16949 certification from all internal and external marketing channels—including, but not limited to, websites and printed and electronic media—when its certification is cancelled, withdrawn, or </w:t>
      </w:r>
      <w:proofErr w:type="gramStart"/>
      <w:r w:rsidRPr="00C96C3B">
        <w:t>expired</w:t>
      </w:r>
      <w:proofErr w:type="gramEnd"/>
      <w:r w:rsidRPr="00C96C3B">
        <w:t xml:space="preserve"> </w:t>
      </w:r>
    </w:p>
    <w:p w14:paraId="62247F24" w14:textId="022D6585" w:rsidR="00EB00F0" w:rsidRDefault="00EB00F0" w:rsidP="00EB00F0">
      <w:r>
        <w:rPr>
          <w:rFonts w:hint="eastAsia"/>
        </w:rPr>
        <w:t>m）认证</w:t>
      </w:r>
      <w:r w:rsidR="00205535">
        <w:rPr>
          <w:rFonts w:hint="eastAsia"/>
        </w:rPr>
        <w:t>机构</w:t>
      </w:r>
      <w:r>
        <w:rPr>
          <w:rFonts w:hint="eastAsia"/>
        </w:rPr>
        <w:t>应在十</w:t>
      </w:r>
      <w:r w:rsidR="00C139D7">
        <w:rPr>
          <w:rFonts w:hint="eastAsia"/>
        </w:rPr>
        <w:t>（</w:t>
      </w:r>
      <w:r>
        <w:rPr>
          <w:rFonts w:hint="eastAsia"/>
        </w:rPr>
        <w:t>10）</w:t>
      </w:r>
      <w:proofErr w:type="gramStart"/>
      <w:r>
        <w:rPr>
          <w:rFonts w:hint="eastAsia"/>
        </w:rPr>
        <w:t>个</w:t>
      </w:r>
      <w:proofErr w:type="gramEnd"/>
      <w:r>
        <w:rPr>
          <w:rFonts w:hint="eastAsia"/>
        </w:rPr>
        <w:t>日历日内通知其客户认证机构所有权状态的</w:t>
      </w:r>
      <w:r w:rsidR="00C139D7">
        <w:rPr>
          <w:rFonts w:hint="eastAsia"/>
        </w:rPr>
        <w:t>变更</w:t>
      </w:r>
      <w:r>
        <w:rPr>
          <w:rFonts w:hint="eastAsia"/>
        </w:rPr>
        <w:t>或IATF 认可的丧失。</w:t>
      </w:r>
    </w:p>
    <w:p w14:paraId="4E0D5F70" w14:textId="721335DC" w:rsidR="00C2347B" w:rsidRDefault="00C2347B" w:rsidP="00EB00F0">
      <w:r w:rsidRPr="00683233">
        <w:t>The certification body shall notify its clients within ten (10) calendar days of any changes in the certification body’s ownership status or loss of IATF recognition.</w:t>
      </w:r>
    </w:p>
    <w:p w14:paraId="6C6B8C9F" w14:textId="5A306E98" w:rsidR="00EB00F0" w:rsidRDefault="00EB00F0" w:rsidP="00EB00F0">
      <w:r>
        <w:rPr>
          <w:rFonts w:hint="eastAsia"/>
        </w:rPr>
        <w:t>n）认证机构应与客户合作，解决与客户转</w:t>
      </w:r>
      <w:r w:rsidR="0030538E">
        <w:rPr>
          <w:rFonts w:hint="eastAsia"/>
        </w:rPr>
        <w:t>移</w:t>
      </w:r>
      <w:r>
        <w:rPr>
          <w:rFonts w:hint="eastAsia"/>
        </w:rPr>
        <w:t>到另一IATF认可的认证机构或从另一IATF认可的认证机构转移相关的未解决的问题。</w:t>
      </w:r>
    </w:p>
    <w:p w14:paraId="5752F0DA" w14:textId="23EEB423" w:rsidR="009B52B1" w:rsidRDefault="009B52B1" w:rsidP="00EB00F0">
      <w:r w:rsidRPr="00683233">
        <w:t>The certification body shall work with the client to resolve open issues related to the client’s transfer to or from another IATF-recognized certification body.</w:t>
      </w:r>
    </w:p>
    <w:p w14:paraId="65A0D74B" w14:textId="72436C40" w:rsidR="00EB00F0" w:rsidRDefault="00EB00F0" w:rsidP="00EB00F0">
      <w:r>
        <w:rPr>
          <w:rFonts w:hint="eastAsia"/>
        </w:rPr>
        <w:t>o）认证机构，包括其担保的所有IATF 16949审核员，应</w:t>
      </w:r>
      <w:r w:rsidR="00AF3362">
        <w:rPr>
          <w:rFonts w:hint="eastAsia"/>
        </w:rPr>
        <w:t>遵</w:t>
      </w:r>
      <w:r>
        <w:rPr>
          <w:rFonts w:hint="eastAsia"/>
        </w:rPr>
        <w:t>守各自客户</w:t>
      </w:r>
      <w:r w:rsidR="00210FE3">
        <w:rPr>
          <w:rFonts w:hint="eastAsia"/>
        </w:rPr>
        <w:t>管</w:t>
      </w:r>
      <w:r>
        <w:rPr>
          <w:rFonts w:hint="eastAsia"/>
        </w:rPr>
        <w:t>辖区的所有相关数据保护法，并在相关个人身份信息的使用方面提供足够的透明度（PI）。</w:t>
      </w:r>
    </w:p>
    <w:p w14:paraId="66703455" w14:textId="106368B4" w:rsidR="00EB00F0" w:rsidRDefault="00EB00F0" w:rsidP="00EB00F0">
      <w:r>
        <w:rPr>
          <w:rFonts w:hint="eastAsia"/>
        </w:rPr>
        <w:t>任何</w:t>
      </w:r>
      <w:r w:rsidR="004A39AE">
        <w:rPr>
          <w:rFonts w:hint="eastAsia"/>
        </w:rPr>
        <w:t>违反</w:t>
      </w:r>
      <w:r w:rsidR="00815DE7">
        <w:rPr>
          <w:rFonts w:hint="eastAsia"/>
        </w:rPr>
        <w:t>上述</w:t>
      </w:r>
      <w:r w:rsidR="00930662">
        <w:rPr>
          <w:rFonts w:hint="eastAsia"/>
        </w:rPr>
        <w:t>条款</w:t>
      </w:r>
      <w:r>
        <w:rPr>
          <w:rFonts w:hint="eastAsia"/>
        </w:rPr>
        <w:t xml:space="preserve"> a</w:t>
      </w:r>
      <w:r w:rsidR="00930662">
        <w:rPr>
          <w:rFonts w:hint="eastAsia"/>
        </w:rPr>
        <w:t>）</w:t>
      </w:r>
      <w:r w:rsidR="00990121">
        <w:rPr>
          <w:rFonts w:hint="eastAsia"/>
        </w:rPr>
        <w:t>-</w:t>
      </w:r>
      <w:r w:rsidR="006F16C4">
        <w:rPr>
          <w:rFonts w:hint="eastAsia"/>
        </w:rPr>
        <w:t xml:space="preserve"> </w:t>
      </w:r>
      <w:r w:rsidR="00D70B7C">
        <w:rPr>
          <w:rFonts w:hint="eastAsia"/>
        </w:rPr>
        <w:t>l</w:t>
      </w:r>
      <w:r w:rsidR="00930662">
        <w:rPr>
          <w:rFonts w:hint="eastAsia"/>
        </w:rPr>
        <w:t>）</w:t>
      </w:r>
      <w:r>
        <w:rPr>
          <w:rFonts w:hint="eastAsia"/>
        </w:rPr>
        <w:t>的行为应被</w:t>
      </w:r>
      <w:r w:rsidR="006F16C4">
        <w:rPr>
          <w:rFonts w:hint="eastAsia"/>
        </w:rPr>
        <w:t>视为</w:t>
      </w:r>
      <w:r>
        <w:rPr>
          <w:rFonts w:hint="eastAsia"/>
        </w:rPr>
        <w:t>重大违约，导致认证机构采取适当措施，包括但不限于审核终止、审核取消、合同取消或认证撤销</w:t>
      </w:r>
      <w:r w:rsidR="00F56DF3">
        <w:rPr>
          <w:rFonts w:hint="eastAsia"/>
        </w:rPr>
        <w:t>。</w:t>
      </w:r>
    </w:p>
    <w:p w14:paraId="22AD6E58" w14:textId="7D54BD27" w:rsidR="009B52B1" w:rsidRPr="00683233" w:rsidRDefault="009B52B1" w:rsidP="009B52B1">
      <w:pPr>
        <w:numPr>
          <w:ilvl w:val="0"/>
          <w:numId w:val="3"/>
        </w:numPr>
      </w:pPr>
      <w:r w:rsidRPr="00683233">
        <w:t xml:space="preserve">The certification body, including all of its sponsored IATF 16949 auditors, shall comply with all relevant data protection laws for the respective client jurisdictions and provide sufficient transparency regarding the use of relevant personally identifiable information. </w:t>
      </w:r>
    </w:p>
    <w:p w14:paraId="7DF1072E" w14:textId="77777777" w:rsidR="009B52B1" w:rsidRPr="009B52B1" w:rsidRDefault="009B52B1" w:rsidP="00EB00F0"/>
    <w:p w14:paraId="5D15AA25" w14:textId="77777777" w:rsidR="0091644F" w:rsidRDefault="0091644F" w:rsidP="00EB00F0">
      <w:pPr>
        <w:rPr>
          <w:b/>
          <w:bCs/>
        </w:rPr>
      </w:pPr>
    </w:p>
    <w:p w14:paraId="1B256ED5" w14:textId="77777777" w:rsidR="0091644F" w:rsidRDefault="0091644F" w:rsidP="00EB00F0">
      <w:pPr>
        <w:rPr>
          <w:b/>
          <w:bCs/>
        </w:rPr>
      </w:pPr>
    </w:p>
    <w:p w14:paraId="212AE7CE" w14:textId="77777777" w:rsidR="0091644F" w:rsidRDefault="0091644F" w:rsidP="00EB00F0">
      <w:pPr>
        <w:rPr>
          <w:b/>
          <w:bCs/>
        </w:rPr>
      </w:pPr>
    </w:p>
    <w:p w14:paraId="519086DE" w14:textId="060B9F42" w:rsidR="00EB00F0" w:rsidRPr="00FD7412" w:rsidRDefault="00EB00F0" w:rsidP="00EB00F0">
      <w:pPr>
        <w:rPr>
          <w:b/>
          <w:bCs/>
        </w:rPr>
      </w:pPr>
      <w:r w:rsidRPr="00FD7412">
        <w:rPr>
          <w:rFonts w:hint="eastAsia"/>
          <w:b/>
          <w:bCs/>
        </w:rPr>
        <w:lastRenderedPageBreak/>
        <w:t>客户</w:t>
      </w:r>
      <w:r w:rsidR="00584892" w:rsidRPr="00FD7412">
        <w:rPr>
          <w:rFonts w:hint="eastAsia"/>
          <w:b/>
          <w:bCs/>
        </w:rPr>
        <w:t>重</w:t>
      </w:r>
      <w:r w:rsidRPr="00FD7412">
        <w:rPr>
          <w:rFonts w:hint="eastAsia"/>
          <w:b/>
          <w:bCs/>
        </w:rPr>
        <w:t>大变更通知</w:t>
      </w:r>
    </w:p>
    <w:p w14:paraId="2025D7F6" w14:textId="4F3C8FB3" w:rsidR="009937DE" w:rsidRPr="00683233" w:rsidRDefault="009937DE" w:rsidP="009937DE">
      <w:pPr>
        <w:numPr>
          <w:ilvl w:val="0"/>
          <w:numId w:val="3"/>
        </w:numPr>
      </w:pPr>
      <w:r w:rsidRPr="00683233">
        <w:rPr>
          <w:b/>
          <w:bCs/>
        </w:rPr>
        <w:t xml:space="preserve">Notice of significant changes by a client </w:t>
      </w:r>
    </w:p>
    <w:p w14:paraId="3092CC30" w14:textId="5BB234FD" w:rsidR="00EB00F0" w:rsidRDefault="00EB00F0" w:rsidP="00EB00F0">
      <w:r>
        <w:rPr>
          <w:rFonts w:hint="eastAsia"/>
        </w:rPr>
        <w:t>客户应通知认证机构即将发生的变更，这些变更可能影响质量管理体系</w:t>
      </w:r>
      <w:r w:rsidR="00584892">
        <w:rPr>
          <w:rFonts w:hint="eastAsia"/>
        </w:rPr>
        <w:t>继续</w:t>
      </w:r>
      <w:r w:rsidR="00B26B37">
        <w:rPr>
          <w:rFonts w:hint="eastAsia"/>
        </w:rPr>
        <w:t>满足</w:t>
      </w:r>
      <w:r>
        <w:rPr>
          <w:rFonts w:hint="eastAsia"/>
        </w:rPr>
        <w:t>IATF16949 认证要求的能力。如，这</w:t>
      </w:r>
      <w:r w:rsidR="00634309">
        <w:rPr>
          <w:rFonts w:hint="eastAsia"/>
        </w:rPr>
        <w:t>些</w:t>
      </w:r>
      <w:r>
        <w:rPr>
          <w:rFonts w:hint="eastAsia"/>
        </w:rPr>
        <w:t>包括与以下方面有关的变</w:t>
      </w:r>
      <w:r w:rsidR="00B26B37">
        <w:rPr>
          <w:rFonts w:hint="eastAsia"/>
        </w:rPr>
        <w:t>更</w:t>
      </w:r>
      <w:r w:rsidR="00634309">
        <w:rPr>
          <w:rFonts w:hint="eastAsia"/>
        </w:rPr>
        <w:t>：</w:t>
      </w:r>
    </w:p>
    <w:p w14:paraId="715E24EF" w14:textId="3016E26F" w:rsidR="00AD53C8" w:rsidRDefault="00AD53C8" w:rsidP="00EB00F0">
      <w:pPr>
        <w:numPr>
          <w:ilvl w:val="0"/>
          <w:numId w:val="3"/>
        </w:numPr>
      </w:pPr>
      <w:r w:rsidRPr="00AD53C8">
        <w:t xml:space="preserve">The client shall notify the certification body of imminent changes that may affect the capability of the quality management system to continue to fulfill the requirements of the IATF 16949 certification. These include, for example, changes relating to: </w:t>
      </w:r>
    </w:p>
    <w:p w14:paraId="0AB0299A" w14:textId="53A79AD2" w:rsidR="00EB00F0" w:rsidRDefault="00EB00F0" w:rsidP="00AD53C8">
      <w:pPr>
        <w:pStyle w:val="a9"/>
        <w:numPr>
          <w:ilvl w:val="0"/>
          <w:numId w:val="7"/>
        </w:numPr>
      </w:pPr>
      <w:r>
        <w:rPr>
          <w:rFonts w:hint="eastAsia"/>
        </w:rPr>
        <w:t>法律状况</w:t>
      </w:r>
    </w:p>
    <w:p w14:paraId="17F5DF22" w14:textId="5D0F6127" w:rsidR="00AD53C8" w:rsidRDefault="00E11AD0" w:rsidP="00AD53C8">
      <w:pPr>
        <w:pStyle w:val="a9"/>
        <w:ind w:left="440"/>
      </w:pPr>
      <w:r>
        <w:rPr>
          <w:rFonts w:hint="eastAsia"/>
        </w:rPr>
        <w:t>L</w:t>
      </w:r>
      <w:r w:rsidR="00634309" w:rsidRPr="00AD53C8">
        <w:t>egal status</w:t>
      </w:r>
    </w:p>
    <w:p w14:paraId="6D7BD826" w14:textId="26E871B9" w:rsidR="00AD53C8" w:rsidRDefault="00EB00F0" w:rsidP="00AD53C8">
      <w:pPr>
        <w:pStyle w:val="a9"/>
        <w:numPr>
          <w:ilvl w:val="0"/>
          <w:numId w:val="7"/>
        </w:numPr>
      </w:pPr>
      <w:r>
        <w:rPr>
          <w:rFonts w:hint="eastAsia"/>
        </w:rPr>
        <w:t>所有权状况（例如、合并、收购、</w:t>
      </w:r>
      <w:r w:rsidR="00B26B37">
        <w:rPr>
          <w:rFonts w:hint="eastAsia"/>
        </w:rPr>
        <w:t>联</w:t>
      </w:r>
      <w:r>
        <w:rPr>
          <w:rFonts w:hint="eastAsia"/>
        </w:rPr>
        <w:t>盟、合</w:t>
      </w:r>
      <w:r w:rsidR="00B26B37">
        <w:rPr>
          <w:rFonts w:hint="eastAsia"/>
        </w:rPr>
        <w:t>资</w:t>
      </w:r>
      <w:r>
        <w:rPr>
          <w:rFonts w:hint="eastAsia"/>
        </w:rPr>
        <w:t>企业等）</w:t>
      </w:r>
    </w:p>
    <w:p w14:paraId="28EF4A9A" w14:textId="04F36EDF" w:rsidR="00AD53C8" w:rsidRDefault="00E11AD0" w:rsidP="00AD53C8">
      <w:pPr>
        <w:pStyle w:val="a9"/>
        <w:ind w:left="440"/>
      </w:pPr>
      <w:r>
        <w:rPr>
          <w:rFonts w:hint="eastAsia"/>
        </w:rPr>
        <w:t>O</w:t>
      </w:r>
      <w:r w:rsidR="00AD53C8" w:rsidRPr="00AD53C8">
        <w:t>wnership status (e.g., mergers, acquisitions, alliances, joint ventures, etc.)</w:t>
      </w:r>
    </w:p>
    <w:p w14:paraId="6F3F639B" w14:textId="3E5F80F4" w:rsidR="003F7D89" w:rsidRDefault="00EB00F0" w:rsidP="00DD7359">
      <w:pPr>
        <w:pStyle w:val="a9"/>
        <w:numPr>
          <w:ilvl w:val="0"/>
          <w:numId w:val="7"/>
        </w:numPr>
      </w:pPr>
      <w:r>
        <w:rPr>
          <w:rFonts w:hint="eastAsia"/>
        </w:rPr>
        <w:t>管理结构（如最高管理者、关键决定人员等）</w:t>
      </w:r>
    </w:p>
    <w:p w14:paraId="510FD8DA" w14:textId="026F1CC8" w:rsidR="00AD53C8" w:rsidRPr="00082DC6" w:rsidRDefault="00E11AD0" w:rsidP="00DD7359">
      <w:pPr>
        <w:pStyle w:val="a9"/>
        <w:ind w:left="440"/>
      </w:pPr>
      <w:r>
        <w:rPr>
          <w:rFonts w:hint="eastAsia"/>
        </w:rPr>
        <w:t>M</w:t>
      </w:r>
      <w:r w:rsidR="00082DC6" w:rsidRPr="00AD53C8">
        <w:t xml:space="preserve">anagement structure (e.g., top management, key decision-making staff, etc.) </w:t>
      </w:r>
    </w:p>
    <w:p w14:paraId="2338BC75" w14:textId="70E2D3B3" w:rsidR="00EB00F0" w:rsidRDefault="00EB00F0" w:rsidP="00082DC6">
      <w:pPr>
        <w:pStyle w:val="a9"/>
        <w:numPr>
          <w:ilvl w:val="0"/>
          <w:numId w:val="7"/>
        </w:numPr>
      </w:pPr>
      <w:r>
        <w:rPr>
          <w:rFonts w:hint="eastAsia"/>
        </w:rPr>
        <w:t>联系地址或场所</w:t>
      </w:r>
    </w:p>
    <w:p w14:paraId="6D83EFD6" w14:textId="24B879E1" w:rsidR="00082DC6" w:rsidRDefault="00E11AD0" w:rsidP="00082DC6">
      <w:pPr>
        <w:pStyle w:val="a9"/>
        <w:ind w:left="440"/>
      </w:pPr>
      <w:r>
        <w:rPr>
          <w:rFonts w:hint="eastAsia"/>
        </w:rPr>
        <w:t>C</w:t>
      </w:r>
      <w:r w:rsidR="00082DC6" w:rsidRPr="00AD53C8">
        <w:t xml:space="preserve">ontact address or </w:t>
      </w:r>
      <w:proofErr w:type="gramStart"/>
      <w:r w:rsidR="00082DC6" w:rsidRPr="00AD53C8">
        <w:t>location</w:t>
      </w:r>
      <w:proofErr w:type="gramEnd"/>
    </w:p>
    <w:p w14:paraId="52A2A13B" w14:textId="48E069AC" w:rsidR="00EB00F0" w:rsidRDefault="00EB00F0" w:rsidP="00082DC6">
      <w:pPr>
        <w:pStyle w:val="a9"/>
        <w:numPr>
          <w:ilvl w:val="0"/>
          <w:numId w:val="7"/>
        </w:numPr>
      </w:pPr>
      <w:r>
        <w:rPr>
          <w:rFonts w:hint="eastAsia"/>
        </w:rPr>
        <w:t>制造过程或支持活动的搬迁</w:t>
      </w:r>
    </w:p>
    <w:p w14:paraId="799EA943" w14:textId="30B73956" w:rsidR="00082DC6" w:rsidRDefault="00E11AD0" w:rsidP="00082DC6">
      <w:pPr>
        <w:pStyle w:val="a9"/>
        <w:ind w:left="440"/>
      </w:pPr>
      <w:r>
        <w:rPr>
          <w:rFonts w:hint="eastAsia"/>
        </w:rPr>
        <w:t>R</w:t>
      </w:r>
      <w:r w:rsidR="00082DC6" w:rsidRPr="00AD53C8">
        <w:t xml:space="preserve">elocation of the manufacturing process(es) or support activities </w:t>
      </w:r>
    </w:p>
    <w:p w14:paraId="466B1091" w14:textId="20E7110F" w:rsidR="00E14B2F" w:rsidRDefault="00EB00F0" w:rsidP="00482887">
      <w:pPr>
        <w:pStyle w:val="a9"/>
        <w:numPr>
          <w:ilvl w:val="0"/>
          <w:numId w:val="7"/>
        </w:numPr>
      </w:pPr>
      <w:r>
        <w:rPr>
          <w:rFonts w:hint="eastAsia"/>
        </w:rPr>
        <w:t>关闭或</w:t>
      </w:r>
      <w:r w:rsidR="003F7D89">
        <w:rPr>
          <w:rFonts w:hint="eastAsia"/>
        </w:rPr>
        <w:t>搬迁</w:t>
      </w:r>
      <w:r>
        <w:rPr>
          <w:rFonts w:hint="eastAsia"/>
        </w:rPr>
        <w:t>制造现场、扩展制造现场或独立</w:t>
      </w:r>
      <w:proofErr w:type="gramStart"/>
      <w:r>
        <w:rPr>
          <w:rFonts w:hint="eastAsia"/>
        </w:rPr>
        <w:t>远程支持</w:t>
      </w:r>
      <w:proofErr w:type="gramEnd"/>
      <w:r>
        <w:rPr>
          <w:rFonts w:hint="eastAsia"/>
        </w:rPr>
        <w:t>场所</w:t>
      </w:r>
    </w:p>
    <w:p w14:paraId="3E0A6713" w14:textId="50AAA9D6" w:rsidR="00482887" w:rsidRDefault="00E11AD0" w:rsidP="00482887">
      <w:pPr>
        <w:pStyle w:val="a9"/>
        <w:ind w:left="440"/>
      </w:pPr>
      <w:r>
        <w:rPr>
          <w:rFonts w:hint="eastAsia"/>
        </w:rPr>
        <w:t>C</w:t>
      </w:r>
      <w:r w:rsidR="00482887" w:rsidRPr="00AD53C8">
        <w:t>losure or relocation of a manufacturing site, extended manufacturing site, or a standalone remote support location</w:t>
      </w:r>
    </w:p>
    <w:p w14:paraId="34A2270A" w14:textId="6442B7D6" w:rsidR="0026283A" w:rsidRDefault="00EB00F0" w:rsidP="00482887">
      <w:pPr>
        <w:pStyle w:val="a9"/>
        <w:numPr>
          <w:ilvl w:val="0"/>
          <w:numId w:val="7"/>
        </w:numPr>
      </w:pPr>
      <w:r>
        <w:rPr>
          <w:rFonts w:hint="eastAsia"/>
        </w:rPr>
        <w:t>质量管理体系下的运行范</w:t>
      </w:r>
      <w:r w:rsidR="00E14B2F">
        <w:rPr>
          <w:rFonts w:hint="eastAsia"/>
        </w:rPr>
        <w:t>围</w:t>
      </w:r>
      <w:r>
        <w:rPr>
          <w:rFonts w:hint="eastAsia"/>
        </w:rPr>
        <w:t>，包括将在认证范围内涵盖的任何新场所和/或支持</w:t>
      </w:r>
      <w:r w:rsidR="007B05C3">
        <w:rPr>
          <w:rFonts w:hint="eastAsia"/>
        </w:rPr>
        <w:t>场所</w:t>
      </w:r>
    </w:p>
    <w:p w14:paraId="496AC3A5" w14:textId="118D3F04" w:rsidR="00482887" w:rsidRDefault="00E11AD0" w:rsidP="00482887">
      <w:pPr>
        <w:pStyle w:val="a9"/>
        <w:ind w:left="440"/>
      </w:pPr>
      <w:r>
        <w:rPr>
          <w:rFonts w:hint="eastAsia"/>
        </w:rPr>
        <w:t>S</w:t>
      </w:r>
      <w:r w:rsidR="00482887" w:rsidRPr="00AD53C8">
        <w:t xml:space="preserve">cope of operations under the quality management system, including any new locations and/or support relationships to be covered in the certification </w:t>
      </w:r>
      <w:proofErr w:type="gramStart"/>
      <w:r w:rsidR="00482887" w:rsidRPr="00AD53C8">
        <w:t>scope</w:t>
      </w:r>
      <w:proofErr w:type="gramEnd"/>
    </w:p>
    <w:p w14:paraId="44102E46" w14:textId="6E936A1A" w:rsidR="00EB00F0" w:rsidRDefault="00EB00F0" w:rsidP="000F7F06">
      <w:pPr>
        <w:pStyle w:val="a9"/>
        <w:numPr>
          <w:ilvl w:val="0"/>
          <w:numId w:val="7"/>
        </w:numPr>
      </w:pPr>
      <w:r>
        <w:rPr>
          <w:rFonts w:hint="eastAsia"/>
        </w:rPr>
        <w:t>将质量管理体系过程外包给其他组织</w:t>
      </w:r>
    </w:p>
    <w:p w14:paraId="62501DBC" w14:textId="7BF829A0" w:rsidR="000F7F06" w:rsidRDefault="00E11AD0" w:rsidP="000F7F06">
      <w:pPr>
        <w:pStyle w:val="a9"/>
        <w:ind w:left="440"/>
      </w:pPr>
      <w:r>
        <w:rPr>
          <w:rFonts w:hint="eastAsia"/>
        </w:rPr>
        <w:t>O</w:t>
      </w:r>
      <w:r w:rsidR="000F7F06" w:rsidRPr="00AD53C8">
        <w:t>utsourcing of quality management system processes to other organizations</w:t>
      </w:r>
    </w:p>
    <w:p w14:paraId="1CEC8FD6" w14:textId="3300AD90" w:rsidR="00EB00F0" w:rsidRDefault="00EB00F0" w:rsidP="00904E01">
      <w:pPr>
        <w:pStyle w:val="a9"/>
        <w:numPr>
          <w:ilvl w:val="0"/>
          <w:numId w:val="7"/>
        </w:numPr>
        <w:spacing w:line="240" w:lineRule="atLeast"/>
        <w:ind w:left="442"/>
      </w:pPr>
      <w:r>
        <w:rPr>
          <w:rFonts w:hint="eastAsia"/>
        </w:rPr>
        <w:t>根据IATF OEM 顾客特定要求（如，特殊状态条件等）中所述，要求</w:t>
      </w:r>
      <w:r w:rsidR="00315871">
        <w:rPr>
          <w:rFonts w:hint="eastAsia"/>
        </w:rPr>
        <w:t>通知</w:t>
      </w:r>
      <w:r>
        <w:rPr>
          <w:rFonts w:hint="eastAsia"/>
        </w:rPr>
        <w:t>认证机构顾客不满意</w:t>
      </w:r>
      <w:r w:rsidR="0026283A">
        <w:rPr>
          <w:rFonts w:hint="eastAsia"/>
        </w:rPr>
        <w:t>情</w:t>
      </w:r>
      <w:r>
        <w:rPr>
          <w:rFonts w:hint="eastAsia"/>
        </w:rPr>
        <w:t>况</w:t>
      </w:r>
    </w:p>
    <w:p w14:paraId="48D9D7D9" w14:textId="0F6CCF88" w:rsidR="000F7F06" w:rsidRPr="004551FA" w:rsidRDefault="00584D7C" w:rsidP="000917D3">
      <w:pPr>
        <w:spacing w:line="240" w:lineRule="atLeast"/>
        <w:ind w:left="442"/>
        <w:rPr>
          <w:rFonts w:hint="eastAsia"/>
        </w:rPr>
      </w:pPr>
      <w:r>
        <w:rPr>
          <w:rFonts w:hint="eastAsia"/>
        </w:rPr>
        <w:t>C</w:t>
      </w:r>
      <w:r w:rsidR="004551FA" w:rsidRPr="00AD53C8">
        <w:t xml:space="preserve">ustomer dissatisfaction scenarios that require certification body notification as described in IATF OEM customer-specific requirements (e.g., special status conditions, etc.) </w:t>
      </w:r>
    </w:p>
    <w:p w14:paraId="3A56D2F8" w14:textId="4C07C7C0" w:rsidR="00EB00F0" w:rsidRDefault="00EB00F0" w:rsidP="004551FA">
      <w:pPr>
        <w:pStyle w:val="a9"/>
        <w:numPr>
          <w:ilvl w:val="0"/>
          <w:numId w:val="7"/>
        </w:numPr>
      </w:pPr>
      <w:r>
        <w:rPr>
          <w:rFonts w:hint="eastAsia"/>
        </w:rPr>
        <w:t>与另一</w:t>
      </w:r>
      <w:r w:rsidR="00E564A3">
        <w:rPr>
          <w:rFonts w:hint="eastAsia"/>
        </w:rPr>
        <w:t>家</w:t>
      </w:r>
      <w:r>
        <w:rPr>
          <w:rFonts w:hint="eastAsia"/>
        </w:rPr>
        <w:t xml:space="preserve"> IATF认可的认证机构签订的合同</w:t>
      </w:r>
    </w:p>
    <w:p w14:paraId="547AEAD6" w14:textId="0F65B7ED" w:rsidR="004551FA" w:rsidRDefault="00B57730" w:rsidP="00210A06">
      <w:pPr>
        <w:pStyle w:val="a9"/>
        <w:ind w:left="440"/>
      </w:pPr>
      <w:r>
        <w:rPr>
          <w:rFonts w:hint="eastAsia"/>
        </w:rPr>
        <w:t xml:space="preserve">A </w:t>
      </w:r>
      <w:r w:rsidR="00210A06" w:rsidRPr="00AD53C8">
        <w:t>signed contract with another IATF-recognized certification body</w:t>
      </w:r>
    </w:p>
    <w:p w14:paraId="239878F8" w14:textId="77777777" w:rsidR="00AD53C8" w:rsidRPr="00AD53C8" w:rsidRDefault="00AD53C8" w:rsidP="00AD53C8">
      <w:pPr>
        <w:numPr>
          <w:ilvl w:val="0"/>
          <w:numId w:val="3"/>
        </w:numPr>
      </w:pPr>
    </w:p>
    <w:sectPr w:rsidR="00AD53C8" w:rsidRPr="00AD53C8">
      <w:headerReference w:type="even" r:id="rId7"/>
      <w:headerReference w:type="default"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A923" w14:textId="77777777" w:rsidR="00816761" w:rsidRDefault="00816761" w:rsidP="00EB00F0">
      <w:pPr>
        <w:spacing w:after="0" w:line="240" w:lineRule="auto"/>
      </w:pPr>
      <w:r>
        <w:separator/>
      </w:r>
    </w:p>
  </w:endnote>
  <w:endnote w:type="continuationSeparator" w:id="0">
    <w:p w14:paraId="0F13ACBD" w14:textId="77777777" w:rsidR="00816761" w:rsidRDefault="00816761" w:rsidP="00EB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06353"/>
      <w:docPartObj>
        <w:docPartGallery w:val="Page Numbers (Bottom of Page)"/>
        <w:docPartUnique/>
      </w:docPartObj>
    </w:sdtPr>
    <w:sdtContent>
      <w:sdt>
        <w:sdtPr>
          <w:id w:val="-1705238520"/>
          <w:docPartObj>
            <w:docPartGallery w:val="Page Numbers (Top of Page)"/>
            <w:docPartUnique/>
          </w:docPartObj>
        </w:sdtPr>
        <w:sdtContent>
          <w:p w14:paraId="40D2682F" w14:textId="4E3F398B" w:rsidR="006D5079" w:rsidRDefault="006D5079" w:rsidP="006D5079">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591CD17" w14:textId="77777777" w:rsidR="006D5079" w:rsidRDefault="006D507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6BEE" w14:textId="77777777" w:rsidR="00816761" w:rsidRDefault="00816761" w:rsidP="00EB00F0">
      <w:pPr>
        <w:spacing w:after="0" w:line="240" w:lineRule="auto"/>
      </w:pPr>
      <w:r>
        <w:separator/>
      </w:r>
    </w:p>
  </w:footnote>
  <w:footnote w:type="continuationSeparator" w:id="0">
    <w:p w14:paraId="678A03D8" w14:textId="77777777" w:rsidR="00816761" w:rsidRDefault="00816761" w:rsidP="00EB0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AF18" w14:textId="6DF8CC4F" w:rsidR="00EB00F0" w:rsidRDefault="00EB00F0">
    <w:pPr>
      <w:pStyle w:val="ae"/>
    </w:pPr>
    <w:r>
      <w:rPr>
        <w:rFonts w:hint="eastAsia"/>
        <w:noProof/>
      </w:rPr>
      <mc:AlternateContent>
        <mc:Choice Requires="wps">
          <w:drawing>
            <wp:anchor distT="0" distB="0" distL="0" distR="0" simplePos="0" relativeHeight="251659264" behindDoc="0" locked="0" layoutInCell="1" allowOverlap="1" wp14:anchorId="7CC2F286" wp14:editId="0EB8023F">
              <wp:simplePos x="635" y="635"/>
              <wp:positionH relativeFrom="page">
                <wp:align>center</wp:align>
              </wp:positionH>
              <wp:positionV relativeFrom="page">
                <wp:align>top</wp:align>
              </wp:positionV>
              <wp:extent cx="443230" cy="387985"/>
              <wp:effectExtent l="0" t="0" r="13970" b="12065"/>
              <wp:wrapNone/>
              <wp:docPr id="987282450" name="文本框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230" cy="387985"/>
                      </a:xfrm>
                      <a:prstGeom prst="rect">
                        <a:avLst/>
                      </a:prstGeom>
                      <a:noFill/>
                      <a:ln>
                        <a:noFill/>
                      </a:ln>
                    </wps:spPr>
                    <wps:txbx>
                      <w:txbxContent>
                        <w:p w14:paraId="683794BF" w14:textId="375263BD" w:rsidR="00EB00F0" w:rsidRPr="00EB00F0" w:rsidRDefault="00EB00F0" w:rsidP="00EB00F0">
                          <w:pPr>
                            <w:spacing w:after="0"/>
                            <w:rPr>
                              <w:rFonts w:ascii="Calibri" w:eastAsia="Calibri" w:hAnsi="Calibri" w:cs="Calibri"/>
                              <w:noProof/>
                              <w:color w:val="000000"/>
                              <w:szCs w:val="22"/>
                            </w:rPr>
                          </w:pPr>
                          <w:r w:rsidRPr="00EB00F0">
                            <w:rPr>
                              <w:rFonts w:ascii="Calibri" w:eastAsia="Calibri" w:hAnsi="Calibri" w:cs="Calibri"/>
                              <w:noProof/>
                              <w:color w:val="000000"/>
                              <w:szCs w:val="22"/>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C2F286" id="_x0000_t202" coordsize="21600,21600" o:spt="202" path="m,l,21600r21600,l21600,xe">
              <v:stroke joinstyle="miter"/>
              <v:path gradientshapeok="t" o:connecttype="rect"/>
            </v:shapetype>
            <v:shape id="文本框 2" o:spid="_x0000_s1026" type="#_x0000_t202" alt="Internal" style="position:absolute;left:0;text-align:left;margin-left:0;margin-top:0;width:34.9pt;height:30.5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" filled="f" stroked="f">
              <v:textbox style="mso-fit-shape-to-text:t" inset="0,15pt,0,0">
                <w:txbxContent>
                  <w:p w14:paraId="683794BF" w14:textId="375263BD" w:rsidR="00EB00F0" w:rsidRPr="00EB00F0" w:rsidRDefault="00EB00F0" w:rsidP="00EB00F0">
                    <w:pPr>
                      <w:spacing w:after="0"/>
                      <w:rPr>
                        <w:rFonts w:ascii="Calibri" w:eastAsia="Calibri" w:hAnsi="Calibri" w:cs="Calibri"/>
                        <w:noProof/>
                        <w:color w:val="000000"/>
                        <w:szCs w:val="22"/>
                      </w:rPr>
                    </w:pPr>
                    <w:r w:rsidRPr="00EB00F0">
                      <w:rPr>
                        <w:rFonts w:ascii="Calibri" w:eastAsia="Calibri" w:hAnsi="Calibri" w:cs="Calibri"/>
                        <w:noProof/>
                        <w:color w:val="000000"/>
                        <w:szCs w:val="22"/>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C92C" w14:textId="251A7D4C" w:rsidR="00EB00F0" w:rsidRDefault="00EB00F0">
    <w:pPr>
      <w:pStyle w:val="ae"/>
    </w:pPr>
    <w:r>
      <w:rPr>
        <w:rFonts w:hint="eastAsia"/>
        <w:noProof/>
      </w:rPr>
      <mc:AlternateContent>
        <mc:Choice Requires="wps">
          <w:drawing>
            <wp:anchor distT="0" distB="0" distL="0" distR="0" simplePos="0" relativeHeight="251660288" behindDoc="0" locked="0" layoutInCell="1" allowOverlap="1" wp14:anchorId="0445A541" wp14:editId="1B55D5E8">
              <wp:simplePos x="1143000" y="539750"/>
              <wp:positionH relativeFrom="page">
                <wp:align>center</wp:align>
              </wp:positionH>
              <wp:positionV relativeFrom="page">
                <wp:align>top</wp:align>
              </wp:positionV>
              <wp:extent cx="443230" cy="387985"/>
              <wp:effectExtent l="0" t="0" r="13970" b="12065"/>
              <wp:wrapNone/>
              <wp:docPr id="1794646512" name="文本框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230" cy="387985"/>
                      </a:xfrm>
                      <a:prstGeom prst="rect">
                        <a:avLst/>
                      </a:prstGeom>
                      <a:noFill/>
                      <a:ln>
                        <a:noFill/>
                      </a:ln>
                    </wps:spPr>
                    <wps:txbx>
                      <w:txbxContent>
                        <w:p w14:paraId="359750AE" w14:textId="08FEE18E" w:rsidR="00EB00F0" w:rsidRPr="00EB00F0" w:rsidRDefault="00EB00F0" w:rsidP="00EB00F0">
                          <w:pPr>
                            <w:spacing w:after="0"/>
                            <w:rPr>
                              <w:rFonts w:ascii="Calibri" w:eastAsia="Calibri" w:hAnsi="Calibri" w:cs="Calibri"/>
                              <w:noProof/>
                              <w:color w:val="000000"/>
                              <w:szCs w:val="22"/>
                            </w:rPr>
                          </w:pPr>
                          <w:r w:rsidRPr="00EB00F0">
                            <w:rPr>
                              <w:rFonts w:ascii="Calibri" w:eastAsia="Calibri" w:hAnsi="Calibri" w:cs="Calibri"/>
                              <w:noProof/>
                              <w:color w:val="000000"/>
                              <w:szCs w:val="22"/>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45A541" id="_x0000_t202" coordsize="21600,21600" o:spt="202" path="m,l,21600r21600,l21600,xe">
              <v:stroke joinstyle="miter"/>
              <v:path gradientshapeok="t" o:connecttype="rect"/>
            </v:shapetype>
            <v:shape id="文本框 3" o:spid="_x0000_s1027" type="#_x0000_t202" alt="Internal" style="position:absolute;left:0;text-align:left;margin-left:0;margin-top:0;width:34.9pt;height:30.5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" filled="f" stroked="f">
              <v:textbox style="mso-fit-shape-to-text:t" inset="0,15pt,0,0">
                <w:txbxContent>
                  <w:p w14:paraId="359750AE" w14:textId="08FEE18E" w:rsidR="00EB00F0" w:rsidRPr="00EB00F0" w:rsidRDefault="00EB00F0" w:rsidP="00EB00F0">
                    <w:pPr>
                      <w:spacing w:after="0"/>
                      <w:rPr>
                        <w:rFonts w:ascii="Calibri" w:eastAsia="Calibri" w:hAnsi="Calibri" w:cs="Calibri"/>
                        <w:noProof/>
                        <w:color w:val="000000"/>
                        <w:szCs w:val="22"/>
                      </w:rPr>
                    </w:pPr>
                    <w:r w:rsidRPr="00EB00F0">
                      <w:rPr>
                        <w:rFonts w:ascii="Calibri" w:eastAsia="Calibri" w:hAnsi="Calibri" w:cs="Calibri"/>
                        <w:noProof/>
                        <w:color w:val="000000"/>
                        <w:szCs w:val="22"/>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7143" w14:textId="7F16B8BA" w:rsidR="00EB00F0" w:rsidRDefault="00EB00F0">
    <w:pPr>
      <w:pStyle w:val="ae"/>
    </w:pPr>
    <w:r>
      <w:rPr>
        <w:rFonts w:hint="eastAsia"/>
        <w:noProof/>
      </w:rPr>
      <mc:AlternateContent>
        <mc:Choice Requires="wps">
          <w:drawing>
            <wp:anchor distT="0" distB="0" distL="0" distR="0" simplePos="0" relativeHeight="251658240" behindDoc="0" locked="0" layoutInCell="1" allowOverlap="1" wp14:anchorId="25B9A8A4" wp14:editId="7C282E47">
              <wp:simplePos x="635" y="635"/>
              <wp:positionH relativeFrom="page">
                <wp:align>center</wp:align>
              </wp:positionH>
              <wp:positionV relativeFrom="page">
                <wp:align>top</wp:align>
              </wp:positionV>
              <wp:extent cx="443230" cy="387985"/>
              <wp:effectExtent l="0" t="0" r="13970" b="12065"/>
              <wp:wrapNone/>
              <wp:docPr id="1365902871" name="文本框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230" cy="387985"/>
                      </a:xfrm>
                      <a:prstGeom prst="rect">
                        <a:avLst/>
                      </a:prstGeom>
                      <a:noFill/>
                      <a:ln>
                        <a:noFill/>
                      </a:ln>
                    </wps:spPr>
                    <wps:txbx>
                      <w:txbxContent>
                        <w:p w14:paraId="3EA1A366" w14:textId="5A066103" w:rsidR="00EB00F0" w:rsidRPr="00EB00F0" w:rsidRDefault="00EB00F0" w:rsidP="00EB00F0">
                          <w:pPr>
                            <w:spacing w:after="0"/>
                            <w:rPr>
                              <w:rFonts w:ascii="Calibri" w:eastAsia="Calibri" w:hAnsi="Calibri" w:cs="Calibri"/>
                              <w:noProof/>
                              <w:color w:val="000000"/>
                              <w:szCs w:val="22"/>
                            </w:rPr>
                          </w:pPr>
                          <w:r w:rsidRPr="00EB00F0">
                            <w:rPr>
                              <w:rFonts w:ascii="Calibri" w:eastAsia="Calibri" w:hAnsi="Calibri" w:cs="Calibri"/>
                              <w:noProof/>
                              <w:color w:val="000000"/>
                              <w:szCs w:val="22"/>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9A8A4" id="_x0000_t202" coordsize="21600,21600" o:spt="202" path="m,l,21600r21600,l21600,xe">
              <v:stroke joinstyle="miter"/>
              <v:path gradientshapeok="t" o:connecttype="rect"/>
            </v:shapetype>
            <v:shape id="文本框 1" o:spid="_x0000_s1028" type="#_x0000_t202" alt="Internal" style="position:absolute;left:0;text-align:left;margin-left:0;margin-top:0;width:34.9pt;height:30.5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" filled="f" stroked="f">
              <v:textbox style="mso-fit-shape-to-text:t" inset="0,15pt,0,0">
                <w:txbxContent>
                  <w:p w14:paraId="3EA1A366" w14:textId="5A066103" w:rsidR="00EB00F0" w:rsidRPr="00EB00F0" w:rsidRDefault="00EB00F0" w:rsidP="00EB00F0">
                    <w:pPr>
                      <w:spacing w:after="0"/>
                      <w:rPr>
                        <w:rFonts w:ascii="Calibri" w:eastAsia="Calibri" w:hAnsi="Calibri" w:cs="Calibri"/>
                        <w:noProof/>
                        <w:color w:val="000000"/>
                        <w:szCs w:val="22"/>
                      </w:rPr>
                    </w:pPr>
                    <w:r w:rsidRPr="00EB00F0">
                      <w:rPr>
                        <w:rFonts w:ascii="Calibri" w:eastAsia="Calibri" w:hAnsi="Calibri" w:cs="Calibri"/>
                        <w:noProof/>
                        <w:color w:val="000000"/>
                        <w:szCs w:val="22"/>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762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A1727"/>
    <w:multiLevelType w:val="hybridMultilevel"/>
    <w:tmpl w:val="8750A932"/>
    <w:lvl w:ilvl="0" w:tplc="1946E01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BB82FC2"/>
    <w:multiLevelType w:val="hybridMultilevel"/>
    <w:tmpl w:val="906629F8"/>
    <w:lvl w:ilvl="0" w:tplc="5632478E">
      <w:start w:val="5"/>
      <w:numFmt w:val="lowerLetter"/>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 w15:restartNumberingAfterBreak="0">
    <w:nsid w:val="448C14B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AECB3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EC6C6B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4DBEB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AD34566"/>
    <w:multiLevelType w:val="hybridMultilevel"/>
    <w:tmpl w:val="8E7EE4E6"/>
    <w:lvl w:ilvl="0" w:tplc="2F7609A6">
      <w:start w:val="1"/>
      <w:numFmt w:val="lowerLetter"/>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54730524">
    <w:abstractNumId w:val="6"/>
  </w:num>
  <w:num w:numId="2" w16cid:durableId="1526477429">
    <w:abstractNumId w:val="5"/>
  </w:num>
  <w:num w:numId="3" w16cid:durableId="1707438608">
    <w:abstractNumId w:val="4"/>
  </w:num>
  <w:num w:numId="4" w16cid:durableId="1323780414">
    <w:abstractNumId w:val="1"/>
  </w:num>
  <w:num w:numId="5" w16cid:durableId="1158351221">
    <w:abstractNumId w:val="0"/>
  </w:num>
  <w:num w:numId="6" w16cid:durableId="1892837056">
    <w:abstractNumId w:val="3"/>
  </w:num>
  <w:num w:numId="7" w16cid:durableId="1153957921">
    <w:abstractNumId w:val="7"/>
  </w:num>
  <w:num w:numId="8" w16cid:durableId="1561087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F0"/>
    <w:rsid w:val="00015EFD"/>
    <w:rsid w:val="00022427"/>
    <w:rsid w:val="00082DC6"/>
    <w:rsid w:val="000917D3"/>
    <w:rsid w:val="000C6DB5"/>
    <w:rsid w:val="000F6800"/>
    <w:rsid w:val="000F7F06"/>
    <w:rsid w:val="00133713"/>
    <w:rsid w:val="00145789"/>
    <w:rsid w:val="00152A72"/>
    <w:rsid w:val="00154103"/>
    <w:rsid w:val="00164EDF"/>
    <w:rsid w:val="00171061"/>
    <w:rsid w:val="00186432"/>
    <w:rsid w:val="001E161D"/>
    <w:rsid w:val="00205535"/>
    <w:rsid w:val="00210A06"/>
    <w:rsid w:val="00210FE3"/>
    <w:rsid w:val="0026283A"/>
    <w:rsid w:val="00281C9E"/>
    <w:rsid w:val="0030538E"/>
    <w:rsid w:val="00315871"/>
    <w:rsid w:val="00355C9A"/>
    <w:rsid w:val="00376B96"/>
    <w:rsid w:val="003B037E"/>
    <w:rsid w:val="003B4EC4"/>
    <w:rsid w:val="003C15C8"/>
    <w:rsid w:val="003C44AC"/>
    <w:rsid w:val="003F7D89"/>
    <w:rsid w:val="004114FE"/>
    <w:rsid w:val="004551FA"/>
    <w:rsid w:val="004610FC"/>
    <w:rsid w:val="00482887"/>
    <w:rsid w:val="004A39AE"/>
    <w:rsid w:val="004C26C6"/>
    <w:rsid w:val="004D2E1B"/>
    <w:rsid w:val="00546C4D"/>
    <w:rsid w:val="00584892"/>
    <w:rsid w:val="00584D7C"/>
    <w:rsid w:val="005B617E"/>
    <w:rsid w:val="00634309"/>
    <w:rsid w:val="00683233"/>
    <w:rsid w:val="006C63CC"/>
    <w:rsid w:val="006D5079"/>
    <w:rsid w:val="006F16C4"/>
    <w:rsid w:val="00722614"/>
    <w:rsid w:val="00737BE1"/>
    <w:rsid w:val="0079494B"/>
    <w:rsid w:val="007B05C3"/>
    <w:rsid w:val="007C20D6"/>
    <w:rsid w:val="007F43BB"/>
    <w:rsid w:val="00815DE7"/>
    <w:rsid w:val="00816761"/>
    <w:rsid w:val="008D72C2"/>
    <w:rsid w:val="008D7A78"/>
    <w:rsid w:val="008F0E4D"/>
    <w:rsid w:val="00904E01"/>
    <w:rsid w:val="00907246"/>
    <w:rsid w:val="0091644F"/>
    <w:rsid w:val="0092130B"/>
    <w:rsid w:val="00930662"/>
    <w:rsid w:val="009433CD"/>
    <w:rsid w:val="00962137"/>
    <w:rsid w:val="00990121"/>
    <w:rsid w:val="009937DE"/>
    <w:rsid w:val="009B52B1"/>
    <w:rsid w:val="009B60F0"/>
    <w:rsid w:val="00A110FF"/>
    <w:rsid w:val="00A201E1"/>
    <w:rsid w:val="00A37E02"/>
    <w:rsid w:val="00AD53C8"/>
    <w:rsid w:val="00AF3362"/>
    <w:rsid w:val="00B26B37"/>
    <w:rsid w:val="00B57730"/>
    <w:rsid w:val="00B76B74"/>
    <w:rsid w:val="00C0069C"/>
    <w:rsid w:val="00C139D7"/>
    <w:rsid w:val="00C2347B"/>
    <w:rsid w:val="00C33466"/>
    <w:rsid w:val="00C96C3B"/>
    <w:rsid w:val="00CF6FD7"/>
    <w:rsid w:val="00D01D37"/>
    <w:rsid w:val="00D70B7C"/>
    <w:rsid w:val="00DD7359"/>
    <w:rsid w:val="00E11AD0"/>
    <w:rsid w:val="00E14B2F"/>
    <w:rsid w:val="00E564A3"/>
    <w:rsid w:val="00E74FF0"/>
    <w:rsid w:val="00E75CCF"/>
    <w:rsid w:val="00EB00F0"/>
    <w:rsid w:val="00EB2DAE"/>
    <w:rsid w:val="00F03EE2"/>
    <w:rsid w:val="00F3590A"/>
    <w:rsid w:val="00F50BD8"/>
    <w:rsid w:val="00F56DF3"/>
    <w:rsid w:val="00F61747"/>
    <w:rsid w:val="00F77628"/>
    <w:rsid w:val="00F91F9B"/>
    <w:rsid w:val="00FA1AB7"/>
    <w:rsid w:val="00FD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28F9E"/>
  <w15:chartTrackingRefBased/>
  <w15:docId w15:val="{827815E7-1067-4B19-A18E-BB7FC8DE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C3B"/>
    <w:pPr>
      <w:widowControl w:val="0"/>
    </w:pPr>
  </w:style>
  <w:style w:type="paragraph" w:styleId="1">
    <w:name w:val="heading 1"/>
    <w:basedOn w:val="a"/>
    <w:next w:val="a"/>
    <w:link w:val="10"/>
    <w:uiPriority w:val="9"/>
    <w:qFormat/>
    <w:rsid w:val="00EB00F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B00F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B00F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B00F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B00F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B00F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B0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0F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B00F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B00F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B00F0"/>
    <w:rPr>
      <w:rFonts w:cstheme="majorBidi"/>
      <w:color w:val="0F4761" w:themeColor="accent1" w:themeShade="BF"/>
      <w:sz w:val="28"/>
      <w:szCs w:val="28"/>
    </w:rPr>
  </w:style>
  <w:style w:type="character" w:customStyle="1" w:styleId="50">
    <w:name w:val="标题 5 字符"/>
    <w:basedOn w:val="a0"/>
    <w:link w:val="5"/>
    <w:uiPriority w:val="9"/>
    <w:semiHidden/>
    <w:rsid w:val="00EB00F0"/>
    <w:rPr>
      <w:rFonts w:cstheme="majorBidi"/>
      <w:color w:val="0F4761" w:themeColor="accent1" w:themeShade="BF"/>
      <w:sz w:val="24"/>
    </w:rPr>
  </w:style>
  <w:style w:type="character" w:customStyle="1" w:styleId="60">
    <w:name w:val="标题 6 字符"/>
    <w:basedOn w:val="a0"/>
    <w:link w:val="6"/>
    <w:uiPriority w:val="9"/>
    <w:semiHidden/>
    <w:rsid w:val="00EB00F0"/>
    <w:rPr>
      <w:rFonts w:cstheme="majorBidi"/>
      <w:b/>
      <w:bCs/>
      <w:color w:val="0F4761" w:themeColor="accent1" w:themeShade="BF"/>
    </w:rPr>
  </w:style>
  <w:style w:type="character" w:customStyle="1" w:styleId="70">
    <w:name w:val="标题 7 字符"/>
    <w:basedOn w:val="a0"/>
    <w:link w:val="7"/>
    <w:uiPriority w:val="9"/>
    <w:semiHidden/>
    <w:rsid w:val="00EB00F0"/>
    <w:rPr>
      <w:rFonts w:cstheme="majorBidi"/>
      <w:b/>
      <w:bCs/>
      <w:color w:val="595959" w:themeColor="text1" w:themeTint="A6"/>
    </w:rPr>
  </w:style>
  <w:style w:type="character" w:customStyle="1" w:styleId="80">
    <w:name w:val="标题 8 字符"/>
    <w:basedOn w:val="a0"/>
    <w:link w:val="8"/>
    <w:uiPriority w:val="9"/>
    <w:semiHidden/>
    <w:rsid w:val="00EB00F0"/>
    <w:rPr>
      <w:rFonts w:cstheme="majorBidi"/>
      <w:color w:val="595959" w:themeColor="text1" w:themeTint="A6"/>
    </w:rPr>
  </w:style>
  <w:style w:type="character" w:customStyle="1" w:styleId="90">
    <w:name w:val="标题 9 字符"/>
    <w:basedOn w:val="a0"/>
    <w:link w:val="9"/>
    <w:uiPriority w:val="9"/>
    <w:semiHidden/>
    <w:rsid w:val="00EB00F0"/>
    <w:rPr>
      <w:rFonts w:eastAsiaTheme="majorEastAsia" w:cstheme="majorBidi"/>
      <w:color w:val="595959" w:themeColor="text1" w:themeTint="A6"/>
    </w:rPr>
  </w:style>
  <w:style w:type="paragraph" w:styleId="a3">
    <w:name w:val="Title"/>
    <w:basedOn w:val="a"/>
    <w:next w:val="a"/>
    <w:link w:val="a4"/>
    <w:uiPriority w:val="10"/>
    <w:qFormat/>
    <w:rsid w:val="00EB0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0F0"/>
    <w:pPr>
      <w:spacing w:before="160"/>
      <w:jc w:val="center"/>
    </w:pPr>
    <w:rPr>
      <w:i/>
      <w:iCs/>
      <w:color w:val="404040" w:themeColor="text1" w:themeTint="BF"/>
    </w:rPr>
  </w:style>
  <w:style w:type="character" w:customStyle="1" w:styleId="a8">
    <w:name w:val="引用 字符"/>
    <w:basedOn w:val="a0"/>
    <w:link w:val="a7"/>
    <w:uiPriority w:val="29"/>
    <w:rsid w:val="00EB00F0"/>
    <w:rPr>
      <w:i/>
      <w:iCs/>
      <w:color w:val="404040" w:themeColor="text1" w:themeTint="BF"/>
    </w:rPr>
  </w:style>
  <w:style w:type="paragraph" w:styleId="a9">
    <w:name w:val="List Paragraph"/>
    <w:basedOn w:val="a"/>
    <w:uiPriority w:val="34"/>
    <w:qFormat/>
    <w:rsid w:val="00EB00F0"/>
    <w:pPr>
      <w:ind w:left="720"/>
      <w:contextualSpacing/>
    </w:pPr>
  </w:style>
  <w:style w:type="character" w:styleId="aa">
    <w:name w:val="Intense Emphasis"/>
    <w:basedOn w:val="a0"/>
    <w:uiPriority w:val="21"/>
    <w:qFormat/>
    <w:rsid w:val="00EB00F0"/>
    <w:rPr>
      <w:i/>
      <w:iCs/>
      <w:color w:val="0F4761" w:themeColor="accent1" w:themeShade="BF"/>
    </w:rPr>
  </w:style>
  <w:style w:type="paragraph" w:styleId="ab">
    <w:name w:val="Intense Quote"/>
    <w:basedOn w:val="a"/>
    <w:next w:val="a"/>
    <w:link w:val="ac"/>
    <w:uiPriority w:val="30"/>
    <w:qFormat/>
    <w:rsid w:val="00EB00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B00F0"/>
    <w:rPr>
      <w:i/>
      <w:iCs/>
      <w:color w:val="0F4761" w:themeColor="accent1" w:themeShade="BF"/>
    </w:rPr>
  </w:style>
  <w:style w:type="character" w:styleId="ad">
    <w:name w:val="Intense Reference"/>
    <w:basedOn w:val="a0"/>
    <w:uiPriority w:val="32"/>
    <w:qFormat/>
    <w:rsid w:val="00EB00F0"/>
    <w:rPr>
      <w:b/>
      <w:bCs/>
      <w:smallCaps/>
      <w:color w:val="0F4761" w:themeColor="accent1" w:themeShade="BF"/>
      <w:spacing w:val="5"/>
    </w:rPr>
  </w:style>
  <w:style w:type="paragraph" w:styleId="ae">
    <w:name w:val="header"/>
    <w:basedOn w:val="a"/>
    <w:link w:val="af"/>
    <w:uiPriority w:val="99"/>
    <w:unhideWhenUsed/>
    <w:rsid w:val="00EB00F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EB00F0"/>
    <w:rPr>
      <w:sz w:val="18"/>
      <w:szCs w:val="18"/>
    </w:rPr>
  </w:style>
  <w:style w:type="paragraph" w:styleId="af0">
    <w:name w:val="footer"/>
    <w:basedOn w:val="a"/>
    <w:link w:val="af1"/>
    <w:uiPriority w:val="99"/>
    <w:unhideWhenUsed/>
    <w:rsid w:val="00C96C3B"/>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C96C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954</Words>
  <Characters>5441</Characters>
  <Application>Microsoft Office Word</Application>
  <DocSecurity>0</DocSecurity>
  <Lines>45</Lines>
  <Paragraphs>12</Paragraphs>
  <ScaleCrop>false</ScaleCrop>
  <Company>BSI</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Zou （邹茜）</dc:creator>
  <cp:keywords/>
  <dc:description/>
  <cp:lastModifiedBy>Cindy Mo （莫文熙　）</cp:lastModifiedBy>
  <cp:revision>51</cp:revision>
  <dcterms:created xsi:type="dcterms:W3CDTF">2024-11-20T03:51:00Z</dcterms:created>
  <dcterms:modified xsi:type="dcterms:W3CDTF">2024-11-20T15:21:00Z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516a0617,3ad8bc12,6af821f0</vt:lpwstr>
  </property>
  <property fmtid="{D5CDD505-2E9C-101B-9397-08002B2CF9AE}" pid="3" name="ClassificationContentMarkingHeaderFontProps">
    <vt:lpwstr>#000000,11,Calibri</vt:lpwstr>
  </property>
  <property fmtid="{D5CDD505-2E9C-101B-9397-08002B2CF9AE}" pid="4" name="ClassificationContentMarkingHeaderText">
    <vt:lpwstr>Internal</vt:lpwstr>
  </property>
  <property fmtid="{D5CDD505-2E9C-101B-9397-08002B2CF9AE}" pid="5" name="MSIP_Label_840d2544-b60a-43e7-b997-17bebe313d3a_Enabled">
    <vt:lpwstr>true</vt:lpwstr>
  </property>
  <property fmtid="{D5CDD505-2E9C-101B-9397-08002B2CF9AE}" pid="6" name="MSIP_Label_840d2544-b60a-43e7-b997-17bebe313d3a_SetDate">
    <vt:lpwstr>2024-11-13T05:50:45Z</vt:lpwstr>
  </property>
  <property fmtid="{D5CDD505-2E9C-101B-9397-08002B2CF9AE}" pid="7" name="MSIP_Label_840d2544-b60a-43e7-b997-17bebe313d3a_Method">
    <vt:lpwstr>Privileged</vt:lpwstr>
  </property>
  <property fmtid="{D5CDD505-2E9C-101B-9397-08002B2CF9AE}" pid="8" name="MSIP_Label_840d2544-b60a-43e7-b997-17bebe313d3a_Name">
    <vt:lpwstr>Internal - Marked</vt:lpwstr>
  </property>
  <property fmtid="{D5CDD505-2E9C-101B-9397-08002B2CF9AE}" pid="9" name="MSIP_Label_840d2544-b60a-43e7-b997-17bebe313d3a_SiteId">
    <vt:lpwstr>54946ffc-68d3-4955-ac70-dca726d445b4</vt:lpwstr>
  </property>
  <property fmtid="{D5CDD505-2E9C-101B-9397-08002B2CF9AE}" pid="10" name="MSIP_Label_840d2544-b60a-43e7-b997-17bebe313d3a_ActionId">
    <vt:lpwstr>6398e77f-807b-4193-b7de-4f32e2e7ec04</vt:lpwstr>
  </property>
  <property fmtid="{D5CDD505-2E9C-101B-9397-08002B2CF9AE}" pid="11" name="MSIP_Label_840d2544-b60a-43e7-b997-17bebe313d3a_ContentBits">
    <vt:lpwstr>1</vt:lpwstr>
  </property>
</Properties>
</file>